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750EBF" w:rsidRPr="00750EBF">
        <w:trPr>
          <w:tblCellSpacing w:w="0" w:type="dxa"/>
          <w:jc w:val="center"/>
        </w:trPr>
        <w:tc>
          <w:tcPr>
            <w:tcW w:w="0" w:type="auto"/>
            <w:tcMar>
              <w:top w:w="30" w:type="dxa"/>
              <w:left w:w="0" w:type="dxa"/>
              <w:bottom w:w="150" w:type="dxa"/>
              <w:right w:w="0" w:type="dxa"/>
            </w:tcMar>
            <w:vAlign w:val="center"/>
            <w:hideMark/>
          </w:tcPr>
          <w:p w:rsidR="00750EBF" w:rsidRPr="00750EBF" w:rsidRDefault="00750EBF" w:rsidP="00750EBF">
            <w:pPr>
              <w:widowControl/>
              <w:spacing w:line="360" w:lineRule="auto"/>
              <w:jc w:val="center"/>
              <w:rPr>
                <w:rFonts w:ascii="ˎ̥" w:eastAsia="宋体" w:hAnsi="ˎ̥" w:cs="Arial"/>
                <w:b/>
                <w:bCs/>
                <w:color w:val="093A96"/>
                <w:kern w:val="0"/>
                <w:sz w:val="33"/>
                <w:szCs w:val="33"/>
              </w:rPr>
            </w:pPr>
            <w:r w:rsidRPr="00750EBF">
              <w:rPr>
                <w:rFonts w:ascii="ˎ̥" w:eastAsia="宋体" w:hAnsi="ˎ̥" w:cs="Arial"/>
                <w:b/>
                <w:bCs/>
                <w:color w:val="093A96"/>
                <w:kern w:val="0"/>
                <w:sz w:val="33"/>
                <w:szCs w:val="33"/>
              </w:rPr>
              <w:t>《中华人民共和国药品管理法》</w:t>
            </w:r>
            <w:r w:rsidRPr="00750EBF">
              <w:rPr>
                <w:rFonts w:ascii="ˎ̥" w:eastAsia="宋体" w:hAnsi="ˎ̥" w:cs="Arial"/>
                <w:b/>
                <w:bCs/>
                <w:color w:val="093A96"/>
                <w:kern w:val="0"/>
                <w:sz w:val="33"/>
                <w:szCs w:val="33"/>
              </w:rPr>
              <w:t xml:space="preserve"> </w:t>
            </w:r>
          </w:p>
        </w:tc>
      </w:tr>
      <w:tr w:rsidR="00750EBF" w:rsidRPr="00750EBF">
        <w:trPr>
          <w:tblCellSpacing w:w="0" w:type="dxa"/>
          <w:jc w:val="center"/>
        </w:trPr>
        <w:tc>
          <w:tcPr>
            <w:tcW w:w="0" w:type="auto"/>
            <w:tcMar>
              <w:top w:w="120" w:type="dxa"/>
              <w:left w:w="0" w:type="dxa"/>
              <w:bottom w:w="0" w:type="dxa"/>
              <w:right w:w="0" w:type="dxa"/>
            </w:tcMar>
            <w:vAlign w:val="center"/>
            <w:hideMark/>
          </w:tcPr>
          <w:p w:rsidR="00750EBF" w:rsidRPr="00750EBF" w:rsidRDefault="00750EBF" w:rsidP="00750EBF">
            <w:pPr>
              <w:widowControl/>
              <w:spacing w:line="360" w:lineRule="auto"/>
              <w:jc w:val="right"/>
              <w:rPr>
                <w:rFonts w:ascii="ˎ̥" w:eastAsia="宋体" w:hAnsi="ˎ̥" w:cs="Arial"/>
                <w:color w:val="919191"/>
                <w:kern w:val="0"/>
                <w:szCs w:val="21"/>
              </w:rPr>
            </w:pPr>
            <w:r w:rsidRPr="00750EBF">
              <w:rPr>
                <w:rFonts w:ascii="ˎ̥" w:eastAsia="宋体" w:hAnsi="ˎ̥" w:cs="Arial"/>
                <w:color w:val="919191"/>
                <w:kern w:val="0"/>
                <w:szCs w:val="21"/>
              </w:rPr>
              <w:t>2015</w:t>
            </w:r>
            <w:r w:rsidRPr="00750EBF">
              <w:rPr>
                <w:rFonts w:ascii="ˎ̥" w:eastAsia="宋体" w:hAnsi="ˎ̥" w:cs="Arial"/>
                <w:color w:val="919191"/>
                <w:kern w:val="0"/>
                <w:szCs w:val="21"/>
              </w:rPr>
              <w:t>年</w:t>
            </w:r>
            <w:r w:rsidRPr="00750EBF">
              <w:rPr>
                <w:rFonts w:ascii="ˎ̥" w:eastAsia="宋体" w:hAnsi="ˎ̥" w:cs="Arial"/>
                <w:color w:val="919191"/>
                <w:kern w:val="0"/>
                <w:szCs w:val="21"/>
              </w:rPr>
              <w:t>04</w:t>
            </w:r>
            <w:r w:rsidRPr="00750EBF">
              <w:rPr>
                <w:rFonts w:ascii="ˎ̥" w:eastAsia="宋体" w:hAnsi="ˎ̥" w:cs="Arial"/>
                <w:color w:val="919191"/>
                <w:kern w:val="0"/>
                <w:szCs w:val="21"/>
              </w:rPr>
              <w:t>月</w:t>
            </w:r>
            <w:r w:rsidRPr="00750EBF">
              <w:rPr>
                <w:rFonts w:ascii="ˎ̥" w:eastAsia="宋体" w:hAnsi="ˎ̥" w:cs="Arial"/>
                <w:color w:val="919191"/>
                <w:kern w:val="0"/>
                <w:szCs w:val="21"/>
              </w:rPr>
              <w:t>24</w:t>
            </w:r>
            <w:r w:rsidRPr="00750EBF">
              <w:rPr>
                <w:rFonts w:ascii="ˎ̥" w:eastAsia="宋体" w:hAnsi="ˎ̥" w:cs="Arial"/>
                <w:color w:val="919191"/>
                <w:kern w:val="0"/>
                <w:szCs w:val="21"/>
              </w:rPr>
              <w:t>日</w:t>
            </w:r>
            <w:r w:rsidRPr="00750EBF">
              <w:rPr>
                <w:rFonts w:ascii="ˎ̥" w:eastAsia="宋体" w:hAnsi="ˎ̥" w:cs="Arial"/>
                <w:color w:val="919191"/>
                <w:kern w:val="0"/>
                <w:szCs w:val="21"/>
              </w:rPr>
              <w:t xml:space="preserve"> </w:t>
            </w:r>
            <w:r w:rsidRPr="00750EBF">
              <w:rPr>
                <w:rFonts w:ascii="ˎ̥" w:eastAsia="宋体" w:hAnsi="ˎ̥" w:cs="Arial"/>
                <w:color w:val="919191"/>
                <w:kern w:val="0"/>
                <w:szCs w:val="21"/>
              </w:rPr>
              <w:t>发布</w:t>
            </w:r>
            <w:r w:rsidRPr="00750EBF">
              <w:rPr>
                <w:rFonts w:ascii="ˎ̥" w:eastAsia="宋体" w:hAnsi="ˎ̥" w:cs="Arial"/>
                <w:color w:val="919191"/>
                <w:kern w:val="0"/>
                <w:szCs w:val="21"/>
              </w:rPr>
              <w:t xml:space="preserve"> </w:t>
            </w:r>
          </w:p>
        </w:tc>
      </w:tr>
      <w:tr w:rsidR="00750EBF" w:rsidRPr="00750EBF">
        <w:trPr>
          <w:trHeight w:val="60"/>
          <w:tblCellSpacing w:w="0" w:type="dxa"/>
          <w:jc w:val="center"/>
        </w:trPr>
        <w:tc>
          <w:tcPr>
            <w:tcW w:w="5000" w:type="pct"/>
            <w:vAlign w:val="center"/>
            <w:hideMark/>
          </w:tcPr>
          <w:p w:rsidR="00750EBF" w:rsidRPr="00750EBF" w:rsidRDefault="00750EBF" w:rsidP="00750EBF">
            <w:pPr>
              <w:widowControl/>
              <w:spacing w:line="408" w:lineRule="auto"/>
              <w:jc w:val="center"/>
              <w:rPr>
                <w:rFonts w:ascii="ˎ̥" w:eastAsia="宋体" w:hAnsi="ˎ̥" w:cs="Arial"/>
                <w:color w:val="000000"/>
                <w:kern w:val="0"/>
                <w:sz w:val="6"/>
                <w:szCs w:val="18"/>
              </w:rPr>
            </w:pPr>
          </w:p>
        </w:tc>
      </w:tr>
      <w:tr w:rsidR="00750EBF" w:rsidRPr="00750EBF">
        <w:trPr>
          <w:tblCellSpacing w:w="0" w:type="dxa"/>
          <w:jc w:val="center"/>
        </w:trPr>
        <w:tc>
          <w:tcPr>
            <w:tcW w:w="0" w:type="auto"/>
            <w:tcMar>
              <w:top w:w="300" w:type="dxa"/>
              <w:left w:w="0" w:type="dxa"/>
              <w:bottom w:w="0" w:type="dxa"/>
              <w:right w:w="0" w:type="dxa"/>
            </w:tcMar>
            <w:vAlign w:val="center"/>
            <w:hideMark/>
          </w:tcPr>
          <w:p w:rsidR="00750EBF" w:rsidRPr="00750EBF" w:rsidRDefault="00750EBF" w:rsidP="00750EBF">
            <w:pPr>
              <w:widowControl/>
              <w:spacing w:before="100" w:beforeAutospacing="1" w:after="100" w:afterAutospacing="1" w:line="480" w:lineRule="auto"/>
              <w:jc w:val="center"/>
              <w:rPr>
                <w:rFonts w:ascii="ˎ̥" w:eastAsia="宋体" w:hAnsi="ˎ̥" w:cs="Arial"/>
                <w:color w:val="000000"/>
                <w:kern w:val="0"/>
                <w:szCs w:val="21"/>
              </w:rPr>
            </w:pPr>
            <w:r w:rsidRPr="00750EBF">
              <w:rPr>
                <w:rFonts w:ascii="ˎ̥" w:eastAsia="宋体" w:hAnsi="ˎ̥" w:cs="Arial"/>
                <w:color w:val="000000"/>
                <w:kern w:val="0"/>
                <w:szCs w:val="21"/>
              </w:rPr>
              <w:t>中华人民共和国药品管理法</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w:t>
            </w:r>
            <w:r w:rsidRPr="00750EBF">
              <w:rPr>
                <w:rFonts w:ascii="ˎ̥" w:eastAsia="宋体" w:hAnsi="ˎ̥" w:cs="Arial"/>
                <w:color w:val="000000"/>
                <w:kern w:val="0"/>
                <w:szCs w:val="21"/>
              </w:rPr>
              <w:t>(1984</w:t>
            </w:r>
            <w:r w:rsidRPr="00750EBF">
              <w:rPr>
                <w:rFonts w:ascii="ˎ̥" w:eastAsia="宋体" w:hAnsi="ˎ̥" w:cs="Arial"/>
                <w:color w:val="000000"/>
                <w:kern w:val="0"/>
                <w:szCs w:val="21"/>
              </w:rPr>
              <w:t>年</w:t>
            </w:r>
            <w:r w:rsidRPr="00750EBF">
              <w:rPr>
                <w:rFonts w:ascii="ˎ̥" w:eastAsia="宋体" w:hAnsi="ˎ̥" w:cs="Arial"/>
                <w:color w:val="000000"/>
                <w:kern w:val="0"/>
                <w:szCs w:val="21"/>
              </w:rPr>
              <w:t>9</w:t>
            </w:r>
            <w:r w:rsidRPr="00750EBF">
              <w:rPr>
                <w:rFonts w:ascii="ˎ̥" w:eastAsia="宋体" w:hAnsi="ˎ̥" w:cs="Arial"/>
                <w:color w:val="000000"/>
                <w:kern w:val="0"/>
                <w:szCs w:val="21"/>
              </w:rPr>
              <w:t>月</w:t>
            </w:r>
            <w:r w:rsidRPr="00750EBF">
              <w:rPr>
                <w:rFonts w:ascii="ˎ̥" w:eastAsia="宋体" w:hAnsi="ˎ̥" w:cs="Arial"/>
                <w:color w:val="000000"/>
                <w:kern w:val="0"/>
                <w:szCs w:val="21"/>
              </w:rPr>
              <w:t>20</w:t>
            </w:r>
            <w:r w:rsidRPr="00750EBF">
              <w:rPr>
                <w:rFonts w:ascii="ˎ̥" w:eastAsia="宋体" w:hAnsi="ˎ̥" w:cs="Arial"/>
                <w:color w:val="000000"/>
                <w:kern w:val="0"/>
                <w:szCs w:val="21"/>
              </w:rPr>
              <w:t>日第六届全国人民代表大会常务委员会第七次会议通过</w:t>
            </w:r>
            <w:r w:rsidRPr="00750EBF">
              <w:rPr>
                <w:rFonts w:ascii="ˎ̥" w:eastAsia="宋体" w:hAnsi="ˎ̥" w:cs="Arial"/>
                <w:color w:val="000000"/>
                <w:kern w:val="0"/>
                <w:szCs w:val="21"/>
              </w:rPr>
              <w:t xml:space="preserve"> 2001</w:t>
            </w:r>
            <w:r w:rsidRPr="00750EBF">
              <w:rPr>
                <w:rFonts w:ascii="ˎ̥" w:eastAsia="宋体" w:hAnsi="ˎ̥" w:cs="Arial"/>
                <w:color w:val="000000"/>
                <w:kern w:val="0"/>
                <w:szCs w:val="21"/>
              </w:rPr>
              <w:t>年</w:t>
            </w:r>
            <w:r w:rsidRPr="00750EBF">
              <w:rPr>
                <w:rFonts w:ascii="ˎ̥" w:eastAsia="宋体" w:hAnsi="ˎ̥" w:cs="Arial"/>
                <w:color w:val="000000"/>
                <w:kern w:val="0"/>
                <w:szCs w:val="21"/>
              </w:rPr>
              <w:t>2</w:t>
            </w:r>
            <w:r w:rsidRPr="00750EBF">
              <w:rPr>
                <w:rFonts w:ascii="ˎ̥" w:eastAsia="宋体" w:hAnsi="ˎ̥" w:cs="Arial"/>
                <w:color w:val="000000"/>
                <w:kern w:val="0"/>
                <w:szCs w:val="21"/>
              </w:rPr>
              <w:t>月</w:t>
            </w:r>
            <w:r w:rsidRPr="00750EBF">
              <w:rPr>
                <w:rFonts w:ascii="ˎ̥" w:eastAsia="宋体" w:hAnsi="ˎ̥" w:cs="Arial"/>
                <w:color w:val="000000"/>
                <w:kern w:val="0"/>
                <w:szCs w:val="21"/>
              </w:rPr>
              <w:t>28</w:t>
            </w:r>
            <w:r w:rsidRPr="00750EBF">
              <w:rPr>
                <w:rFonts w:ascii="ˎ̥" w:eastAsia="宋体" w:hAnsi="ˎ̥" w:cs="Arial"/>
                <w:color w:val="000000"/>
                <w:kern w:val="0"/>
                <w:szCs w:val="21"/>
              </w:rPr>
              <w:t>日第九届全国人民代表大会常务委员会第二十次会议修订根据</w:t>
            </w:r>
            <w:r w:rsidRPr="00750EBF">
              <w:rPr>
                <w:rFonts w:ascii="ˎ̥" w:eastAsia="宋体" w:hAnsi="ˎ̥" w:cs="Arial"/>
                <w:color w:val="000000"/>
                <w:kern w:val="0"/>
                <w:szCs w:val="21"/>
              </w:rPr>
              <w:t xml:space="preserve"> 2013</w:t>
            </w:r>
            <w:r w:rsidRPr="00750EBF">
              <w:rPr>
                <w:rFonts w:ascii="ˎ̥" w:eastAsia="宋体" w:hAnsi="ˎ̥" w:cs="Arial"/>
                <w:color w:val="000000"/>
                <w:kern w:val="0"/>
                <w:szCs w:val="21"/>
              </w:rPr>
              <w:t>年</w:t>
            </w:r>
            <w:r w:rsidRPr="00750EBF">
              <w:rPr>
                <w:rFonts w:ascii="ˎ̥" w:eastAsia="宋体" w:hAnsi="ˎ̥" w:cs="Arial"/>
                <w:color w:val="000000"/>
                <w:kern w:val="0"/>
                <w:szCs w:val="21"/>
              </w:rPr>
              <w:t>12</w:t>
            </w:r>
            <w:r w:rsidRPr="00750EBF">
              <w:rPr>
                <w:rFonts w:ascii="ˎ̥" w:eastAsia="宋体" w:hAnsi="ˎ̥" w:cs="Arial"/>
                <w:color w:val="000000"/>
                <w:kern w:val="0"/>
                <w:szCs w:val="21"/>
              </w:rPr>
              <w:t>月</w:t>
            </w:r>
            <w:r w:rsidRPr="00750EBF">
              <w:rPr>
                <w:rFonts w:ascii="ˎ̥" w:eastAsia="宋体" w:hAnsi="ˎ̥" w:cs="Arial"/>
                <w:color w:val="000000"/>
                <w:kern w:val="0"/>
                <w:szCs w:val="21"/>
              </w:rPr>
              <w:t>28</w:t>
            </w:r>
            <w:r w:rsidRPr="00750EBF">
              <w:rPr>
                <w:rFonts w:ascii="ˎ̥" w:eastAsia="宋体" w:hAnsi="ˎ̥" w:cs="Arial"/>
                <w:color w:val="000000"/>
                <w:kern w:val="0"/>
                <w:szCs w:val="21"/>
              </w:rPr>
              <w:t>日第十二届全国人民代表大会常务委员会第六次会议《关于修改</w:t>
            </w:r>
            <w:r w:rsidRPr="00750EBF">
              <w:rPr>
                <w:rFonts w:ascii="ˎ̥" w:eastAsia="宋体" w:hAnsi="ˎ̥" w:cs="Arial"/>
                <w:color w:val="000000"/>
                <w:kern w:val="0"/>
                <w:szCs w:val="21"/>
              </w:rPr>
              <w:t>&lt;</w:t>
            </w:r>
            <w:r w:rsidRPr="00750EBF">
              <w:rPr>
                <w:rFonts w:ascii="ˎ̥" w:eastAsia="宋体" w:hAnsi="ˎ̥" w:cs="Arial"/>
                <w:color w:val="000000"/>
                <w:kern w:val="0"/>
                <w:szCs w:val="21"/>
              </w:rPr>
              <w:t>中华人民共和国海洋环境保护法</w:t>
            </w:r>
            <w:r w:rsidRPr="00750EBF">
              <w:rPr>
                <w:rFonts w:ascii="ˎ̥" w:eastAsia="宋体" w:hAnsi="ˎ̥" w:cs="Arial"/>
                <w:color w:val="000000"/>
                <w:kern w:val="0"/>
                <w:szCs w:val="21"/>
              </w:rPr>
              <w:t>&gt;</w:t>
            </w:r>
            <w:r w:rsidRPr="00750EBF">
              <w:rPr>
                <w:rFonts w:ascii="ˎ̥" w:eastAsia="宋体" w:hAnsi="ˎ̥" w:cs="Arial"/>
                <w:color w:val="000000"/>
                <w:kern w:val="0"/>
                <w:szCs w:val="21"/>
              </w:rPr>
              <w:t>等七部法律的决定》第一次修正</w:t>
            </w:r>
            <w:r w:rsidRPr="00750EBF">
              <w:rPr>
                <w:rFonts w:ascii="ˎ̥" w:eastAsia="宋体" w:hAnsi="ˎ̥" w:cs="Arial"/>
                <w:color w:val="000000"/>
                <w:kern w:val="0"/>
                <w:szCs w:val="21"/>
              </w:rPr>
              <w:t xml:space="preserve"> </w:t>
            </w:r>
            <w:r w:rsidRPr="00750EBF">
              <w:rPr>
                <w:rFonts w:ascii="ˎ̥" w:eastAsia="宋体" w:hAnsi="ˎ̥" w:cs="Arial"/>
                <w:color w:val="000000"/>
                <w:kern w:val="0"/>
                <w:szCs w:val="21"/>
              </w:rPr>
              <w:t>根据</w:t>
            </w:r>
            <w:r w:rsidRPr="00750EBF">
              <w:rPr>
                <w:rFonts w:ascii="ˎ̥" w:eastAsia="宋体" w:hAnsi="ˎ̥" w:cs="Arial"/>
                <w:color w:val="000000"/>
                <w:kern w:val="0"/>
                <w:szCs w:val="21"/>
              </w:rPr>
              <w:t>2015</w:t>
            </w:r>
            <w:r w:rsidRPr="00750EBF">
              <w:rPr>
                <w:rFonts w:ascii="ˎ̥" w:eastAsia="宋体" w:hAnsi="ˎ̥" w:cs="Arial"/>
                <w:color w:val="000000"/>
                <w:kern w:val="0"/>
                <w:szCs w:val="21"/>
              </w:rPr>
              <w:t>年</w:t>
            </w:r>
            <w:r w:rsidRPr="00750EBF">
              <w:rPr>
                <w:rFonts w:ascii="ˎ̥" w:eastAsia="宋体" w:hAnsi="ˎ̥" w:cs="Arial"/>
                <w:color w:val="000000"/>
                <w:kern w:val="0"/>
                <w:szCs w:val="21"/>
              </w:rPr>
              <w:t>4</w:t>
            </w:r>
            <w:r w:rsidRPr="00750EBF">
              <w:rPr>
                <w:rFonts w:ascii="ˎ̥" w:eastAsia="宋体" w:hAnsi="ˎ̥" w:cs="Arial"/>
                <w:color w:val="000000"/>
                <w:kern w:val="0"/>
                <w:szCs w:val="21"/>
              </w:rPr>
              <w:t>月</w:t>
            </w:r>
            <w:r w:rsidRPr="00750EBF">
              <w:rPr>
                <w:rFonts w:ascii="ˎ̥" w:eastAsia="宋体" w:hAnsi="ˎ̥" w:cs="Arial"/>
                <w:color w:val="000000"/>
                <w:kern w:val="0"/>
                <w:szCs w:val="21"/>
              </w:rPr>
              <w:t>24</w:t>
            </w:r>
            <w:r w:rsidRPr="00750EBF">
              <w:rPr>
                <w:rFonts w:ascii="ˎ̥" w:eastAsia="宋体" w:hAnsi="ˎ̥" w:cs="Arial"/>
                <w:color w:val="000000"/>
                <w:kern w:val="0"/>
                <w:szCs w:val="21"/>
              </w:rPr>
              <w:t>日第十二届全国人民代表大会常务委员会第十四次会议《关于修改</w:t>
            </w:r>
            <w:r w:rsidRPr="00750EBF">
              <w:rPr>
                <w:rFonts w:ascii="ˎ̥" w:eastAsia="宋体" w:hAnsi="ˎ̥" w:cs="Arial"/>
                <w:color w:val="000000"/>
                <w:kern w:val="0"/>
                <w:szCs w:val="21"/>
              </w:rPr>
              <w:t>&lt;</w:t>
            </w:r>
            <w:r w:rsidRPr="00750EBF">
              <w:rPr>
                <w:rFonts w:ascii="ˎ̥" w:eastAsia="宋体" w:hAnsi="ˎ̥" w:cs="Arial"/>
                <w:color w:val="000000"/>
                <w:kern w:val="0"/>
                <w:szCs w:val="21"/>
              </w:rPr>
              <w:t>中华人民共和国药品管理法</w:t>
            </w:r>
            <w:r w:rsidRPr="00750EBF">
              <w:rPr>
                <w:rFonts w:ascii="ˎ̥" w:eastAsia="宋体" w:hAnsi="ˎ̥" w:cs="Arial"/>
                <w:color w:val="000000"/>
                <w:kern w:val="0"/>
                <w:szCs w:val="21"/>
              </w:rPr>
              <w:t>&gt;</w:t>
            </w:r>
            <w:r w:rsidRPr="00750EBF">
              <w:rPr>
                <w:rFonts w:ascii="ˎ̥" w:eastAsia="宋体" w:hAnsi="ˎ̥" w:cs="Arial"/>
                <w:color w:val="000000"/>
                <w:kern w:val="0"/>
                <w:szCs w:val="21"/>
              </w:rPr>
              <w:t>的决定》第二次修正</w:t>
            </w:r>
            <w:r w:rsidRPr="00750EBF">
              <w:rPr>
                <w:rFonts w:ascii="ˎ̥" w:eastAsia="宋体" w:hAnsi="ˎ̥" w:cs="Arial"/>
                <w:color w:val="000000"/>
                <w:kern w:val="0"/>
                <w:szCs w:val="21"/>
              </w:rPr>
              <w:t>)</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 w:val="18"/>
                <w:szCs w:val="18"/>
              </w:rPr>
              <w:br/>
            </w:r>
            <w:r w:rsidRPr="00750EBF">
              <w:rPr>
                <w:rFonts w:ascii="ˎ̥" w:eastAsia="宋体" w:hAnsi="ˎ̥" w:cs="Arial"/>
                <w:color w:val="000000"/>
                <w:kern w:val="0"/>
                <w:szCs w:val="21"/>
              </w:rPr>
              <w:t>第一章　总则</w:t>
            </w:r>
            <w:r w:rsidRPr="00750EBF">
              <w:rPr>
                <w:rFonts w:ascii="ˎ̥" w:eastAsia="宋体" w:hAnsi="ˎ̥" w:cs="Arial"/>
                <w:color w:val="000000"/>
                <w:kern w:val="0"/>
                <w:sz w:val="18"/>
                <w:szCs w:val="18"/>
              </w:rPr>
              <w:br/>
            </w:r>
            <w:r w:rsidRPr="00750EBF">
              <w:rPr>
                <w:rFonts w:ascii="ˎ̥" w:eastAsia="宋体" w:hAnsi="ˎ̥" w:cs="Arial"/>
                <w:color w:val="000000"/>
                <w:kern w:val="0"/>
                <w:szCs w:val="21"/>
              </w:rPr>
              <w:t>第二章　药品生产企业管理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第三章　药品经营企业管理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第四章　医疗机构的药剂管理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第五章　药品管理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第六章　药品包装的管理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第七章　药品价格和广告的管理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第八章　药品监督</w:t>
            </w:r>
            <w:r w:rsidRPr="00750EBF">
              <w:rPr>
                <w:rFonts w:ascii="ˎ̥" w:eastAsia="宋体" w:hAnsi="ˎ̥" w:cs="Arial"/>
                <w:color w:val="000000"/>
                <w:kern w:val="0"/>
                <w:sz w:val="18"/>
                <w:szCs w:val="18"/>
              </w:rPr>
              <w:br/>
            </w:r>
            <w:r w:rsidRPr="00750EBF">
              <w:rPr>
                <w:rFonts w:ascii="ˎ̥" w:eastAsia="宋体" w:hAnsi="ˎ̥" w:cs="Arial"/>
                <w:color w:val="000000"/>
                <w:kern w:val="0"/>
                <w:szCs w:val="21"/>
              </w:rPr>
              <w:t>第九章　法律责任</w:t>
            </w:r>
            <w:r w:rsidRPr="00750EBF">
              <w:rPr>
                <w:rFonts w:ascii="ˎ̥" w:eastAsia="宋体" w:hAnsi="ˎ̥" w:cs="Arial"/>
                <w:color w:val="000000"/>
                <w:kern w:val="0"/>
                <w:sz w:val="18"/>
                <w:szCs w:val="18"/>
              </w:rPr>
              <w:br/>
            </w:r>
            <w:r w:rsidRPr="00750EBF">
              <w:rPr>
                <w:rFonts w:ascii="ˎ̥" w:eastAsia="宋体" w:hAnsi="ˎ̥" w:cs="Arial"/>
                <w:color w:val="000000"/>
                <w:kern w:val="0"/>
                <w:szCs w:val="21"/>
              </w:rPr>
              <w:t>第十章　附则</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 w:val="18"/>
                <w:szCs w:val="18"/>
              </w:rPr>
              <w:lastRenderedPageBreak/>
              <w:br/>
            </w:r>
            <w:r w:rsidRPr="00750EBF">
              <w:rPr>
                <w:rFonts w:ascii="ˎ̥" w:eastAsia="宋体" w:hAnsi="ˎ̥" w:cs="Arial"/>
                <w:color w:val="000000"/>
                <w:kern w:val="0"/>
                <w:szCs w:val="21"/>
              </w:rPr>
              <w:t>第一章　总则</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第一条　为加强药品监督管理，保证药品质量，保障人体用药安全，维护人民身体健康和用药的合法权益，特制定本法。</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第二条　在中华人民共和国境内从事药品的研制、生产、经营、使用和监督管理的单位或者个人，必须遵守本法。</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第三条　国家发展现代药和传统药，充分发挥其在预防、医疗和保健中的作用。</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国家保护野生药材资源，鼓励培育中药材。</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第四条　国家鼓励研究和创制新药，保护公民、法人和其他组织研究、开发新药的合法权益。</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第五条　国务院药品监督管理部门主管全国药品监督管理工作。国务院有关部门在各自的职责范围内负责与药品有关的监督管理工作。</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省、自治区、直辖市人民政府药品监督管理部门负责本行政区域内的药品监督管理工作。省、自治区、直辖市人民政府有关部门在各自的职责范围内负责与药品有关的监督管理工作。</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国务院药品监督管理部门应当配合国务院经济综合主管部门，执行国家制定的药品行业发展规划和产业政策。</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第六条　药品监督管理部门设置或者确定的药品检验机构，承担依法实施药品审批和药品质量监督检查所需的药品检验工作。</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lastRenderedPageBreak/>
              <w:t>第二章　药品生产企业管理</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第七条　开办药品生产企业，须经企业所在地省、自治区、直辖市人民政府药品监督管理部门批准并发给《药品生产许可证》。无《药品生产许可证》的，不得生产药品。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《药品生产许可证》应当标明有效期和生产范围，到期重新审查发证。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药品监督管理部门批准开办药品生产企业，除依据本法第八条规定的条件外，还应当符合国家制定的药品行业发展规划和产业政策，防止重复建设。</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第八条　开办药品生产企业，必须具备以下条件</w:t>
            </w:r>
            <w:r w:rsidRPr="00750EBF">
              <w:rPr>
                <w:rFonts w:ascii="ˎ̥" w:eastAsia="宋体" w:hAnsi="ˎ̥" w:cs="Arial"/>
                <w:color w:val="000000"/>
                <w:kern w:val="0"/>
                <w:szCs w:val="21"/>
              </w:rPr>
              <w:t>:</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（一）具有依法经过资格认定的药学技术人员、工程技术人员及相应的技术工人；</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（二）具有与其药品生产相适应的厂房、设施和卫生环境；</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（三）具有能对所生产药品进行质量管理和质量检验的机构、人员以及必要的仪器设备；</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（四）具有保证药品质量的规章制度。</w:t>
            </w:r>
            <w:r w:rsidRPr="00750EBF">
              <w:rPr>
                <w:rFonts w:ascii="ˎ̥" w:eastAsia="宋体" w:hAnsi="ˎ̥" w:cs="Arial"/>
                <w:color w:val="000000"/>
                <w:kern w:val="0"/>
                <w:szCs w:val="21"/>
              </w:rPr>
              <w:t xml:space="preserve"> </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第九条　药品生产企业必须按照国务院药品监督管理部门依据本法制定的《药品生产质量管理规范》组织生产。药品监督管理部门按照规定对药品生产企业是否符合《药品生产质量管理规范》的要求进行认证；对认证合格的，发给认证证书。</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《药品生产质量管理规范》的具体实施办法、实施步骤由国务院药品监督管理部门规定。</w:t>
            </w:r>
            <w:r w:rsidRPr="00750EBF">
              <w:rPr>
                <w:rFonts w:ascii="ˎ̥" w:eastAsia="宋体" w:hAnsi="ˎ̥" w:cs="Arial"/>
                <w:color w:val="000000"/>
                <w:kern w:val="0"/>
                <w:szCs w:val="21"/>
              </w:rPr>
              <w:t xml:space="preserve"> </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第十条　除中药饮片的炮制外，药品必须按照国家药品标准和国务院药品监督管理部门批准的生产工艺进行生产，生产记录必须完整准确。药品生产企业改变影响药品质量的生产工艺的，必须报原批准部门审核批准。</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中药饮片必须按照国家药品标准炮制；国家药品标准没有规定的，必须按照省、自治区、</w:t>
            </w:r>
            <w:r w:rsidRPr="00750EBF">
              <w:rPr>
                <w:rFonts w:ascii="ˎ̥" w:eastAsia="宋体" w:hAnsi="ˎ̥" w:cs="Arial"/>
                <w:color w:val="000000"/>
                <w:kern w:val="0"/>
                <w:szCs w:val="21"/>
              </w:rPr>
              <w:lastRenderedPageBreak/>
              <w:t>直辖市人民政府药品监督管理部门制定的炮制规范炮制。省、自治区、直辖市人民政府药品监督管理部门制定的炮制规范应当报国务院药品监督管理部门备案。</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第十一条　生产药品所需的原料、辅料，必须符合药用要求。</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第十二条　药品生产企业必须对其生产的药品进行质量检验；不符合国家药品标准或者不按照省、自治区、直辖市人民政府药品监督管理部门制定的中药饮片炮制规范炮制的，不得出厂。</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第十三条　经省、自治区、直辖市人民政府药品监督管理部门批准，药品生产企业可以接受委托生产药品。</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第三章　药品经营企业管理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第十四条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《药品经营许可证》应当标明有效期和经营范围，到期重新审查发证。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药品监督管理部门批准开办药品经营企业，除依据本法第十五条规定的条件外，还应当遵循合理布局和方便群众购药的原则。</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第十五条　开办药品经营企业必须具备以下条件</w:t>
            </w:r>
            <w:r w:rsidRPr="00750EBF">
              <w:rPr>
                <w:rFonts w:ascii="ˎ̥" w:eastAsia="宋体" w:hAnsi="ˎ̥" w:cs="Arial"/>
                <w:color w:val="000000"/>
                <w:kern w:val="0"/>
                <w:szCs w:val="21"/>
              </w:rPr>
              <w:t>:</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（一）具有依法经过资格认定的药学技术人员；</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（二）具有与所经营药品相适应的营业场所、设备、仓储设施、卫生环境；</w:t>
            </w:r>
            <w:r w:rsidRPr="00750EBF">
              <w:rPr>
                <w:rFonts w:ascii="ˎ̥" w:eastAsia="宋体" w:hAnsi="ˎ̥" w:cs="Arial"/>
                <w:color w:val="000000"/>
                <w:kern w:val="0"/>
                <w:sz w:val="18"/>
                <w:szCs w:val="18"/>
              </w:rPr>
              <w:br/>
            </w:r>
            <w:r w:rsidRPr="00750EBF">
              <w:rPr>
                <w:rFonts w:ascii="ˎ̥" w:eastAsia="宋体" w:hAnsi="ˎ̥" w:cs="Arial"/>
                <w:color w:val="000000"/>
                <w:kern w:val="0"/>
                <w:szCs w:val="21"/>
              </w:rPr>
              <w:lastRenderedPageBreak/>
              <w:t xml:space="preserve">　　（三）具有与所经营药品相适应的质量管理机构或者人员；</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（四）具有保证所经营药品质量的规章制度。</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第十六条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《药品经营质量管理规范》的具体实施办法、实施步骤由国务院药品监督管理部门规定。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第十七条　药品经营企业购进药品，必须建立并执行进货检查验收制度，验明药品合格证明和其他标识；不符合规定要求的，不得购进。</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第十八条　药品经营企业购销药品，必须有真实完整的购销记录。购销记录必须注明药品的通用名称、剂型、规格、批号、有效期、生产厂商、购（销）货单位、购（销）货数量、购销价格、购（销）货日期及国务院药品监督管理部门规定的其他内容。</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第十九条　药品经营企业销售药品必须准确无误，并正确说明用法、用量和注意事项；调配处方必须经过核对，对处方所列药品不得擅自更改或者代用。对有配伍禁忌或者超剂量的处方，应当拒绝调配；必要时，经处方医师更正或者重新签字，方可调配。</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药品经营企业销售中药材，必须标明产地。</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第二十条　药品经营企业必须制定和执行药品保管制度，采取必要的冷藏、防冻、防潮、防虫、防鼠等措施，保证药品质量。</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药品入库和出库必须执行检查制度。</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第二十一条　城乡集市贸易市场可以出售中药材，国务院另有规定的除外。</w:t>
            </w:r>
            <w:r w:rsidRPr="00750EBF">
              <w:rPr>
                <w:rFonts w:ascii="ˎ̥" w:eastAsia="宋体" w:hAnsi="ˎ̥" w:cs="Arial"/>
                <w:color w:val="000000"/>
                <w:kern w:val="0"/>
                <w:sz w:val="18"/>
                <w:szCs w:val="18"/>
              </w:rPr>
              <w:br/>
            </w:r>
            <w:r w:rsidRPr="00750EBF">
              <w:rPr>
                <w:rFonts w:ascii="ˎ̥" w:eastAsia="宋体" w:hAnsi="ˎ̥" w:cs="Arial"/>
                <w:color w:val="000000"/>
                <w:kern w:val="0"/>
                <w:szCs w:val="21"/>
              </w:rPr>
              <w:lastRenderedPageBreak/>
              <w:t xml:space="preserve">　　城乡集市贸易市场不得出售中药材以外的药品，但持有《药品经营许可证》的药品零售企业在规定的范围内可以在城乡集市贸易市场设点出售中药材以外的药品。具体办法由国务院规定。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第四章　医疗机构的药剂管理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第二十二条　医疗机构必须配备依法经过资格认定的药学技术人员。非药学技术人员不得直接从事药剂技术工作。</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第二十三条　医疗机构配制制剂，须经所在地省、自治区、直辖市人民政府卫生行政部门审核同意，由省、自治区、直辖市人民政府药品监督管理部门批准，发给《医疗机构制剂许可证》。无《医疗机构制剂许可证》的，不得配制制剂。</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《医疗机构制剂许可证》应当标明有效期，到期重新审查发证。</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第二十四条　医疗机构配制制剂，必须具有能够保证制剂质量的设施、管理制度、检验仪器和卫生条件。</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第二十五条　医疗机构配制的制剂，应当是本单位临床需要而市场上没有供应的品种，并须经所在地省、自治区、直辖市人民政府药品监督管理部门批准后方可配制。配制的制剂必须按照规定进行质量检验；合格的，凭医师处方在本医疗机构使用。特殊情况下，经国务院或者省、自治区、直辖市人民政府的药品监督管理部门批准，医疗机构配制的制剂可以在指定的医疗机构之间调剂使用。</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医疗机构配制的制剂，不得在市场销售。</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第二十六条　医疗机构购进药品，必须建立并执行进货检查验收制度，验明药品合格证</w:t>
            </w:r>
            <w:r w:rsidRPr="00750EBF">
              <w:rPr>
                <w:rFonts w:ascii="ˎ̥" w:eastAsia="宋体" w:hAnsi="ˎ̥" w:cs="Arial"/>
                <w:color w:val="000000"/>
                <w:kern w:val="0"/>
                <w:szCs w:val="21"/>
              </w:rPr>
              <w:lastRenderedPageBreak/>
              <w:t>明和其他标识；不符合规定要求的，不得购进和使用。</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第二十七条　医疗机构的药剂人员调配处方，必须经过核对，对处方所列药品不得擅自更改或者代用。对有配伍禁忌或者超剂量的处方，应当拒绝调配；必要时，经处方医师更正或者重新签字，方可调配。</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第二十八条　医疗机构必须制定和执行药品保管制度，采取必要的冷藏、防冻、防潮、防虫、防鼠等措施，保证药品质量。</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第五章　药品管理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第二十九条　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院卫生行政部门共同制定。</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完成临床试验并通过审批的新药，由国务院药品监督管理部门批准，发给新药证书。</w:t>
            </w:r>
            <w:r w:rsidRPr="00750EBF">
              <w:rPr>
                <w:rFonts w:ascii="ˎ̥" w:eastAsia="宋体" w:hAnsi="ˎ̥" w:cs="Arial"/>
                <w:color w:val="000000"/>
                <w:kern w:val="0"/>
                <w:szCs w:val="21"/>
              </w:rPr>
              <w:t xml:space="preserve"> </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第三十条　药物的非临床安全性评价研究机构和临床试验机构必须分别执行药物非临床研究质量管理规范、药物临床试验质量管理规范。</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药物非临床研究质量管理规范、药物临床试验质量管理规范由国务院确定的部门制定。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第三十一条　生产新药或者已有国家标准的药品的，须经国务院药品监督管理部门批准，并发给药品批准文号；但是，生产没有实施批准文号管理的中药材和中药饮片除外。实施批准文号管理的中药材、中药饮片品种目录由国务院药品监督管理部门会同国务院中医药管理部门制定。</w:t>
            </w:r>
            <w:r w:rsidRPr="00750EBF">
              <w:rPr>
                <w:rFonts w:ascii="ˎ̥" w:eastAsia="宋体" w:hAnsi="ˎ̥" w:cs="Arial"/>
                <w:color w:val="000000"/>
                <w:kern w:val="0"/>
                <w:sz w:val="18"/>
                <w:szCs w:val="18"/>
              </w:rPr>
              <w:br/>
            </w:r>
            <w:r w:rsidRPr="00750EBF">
              <w:rPr>
                <w:rFonts w:ascii="ˎ̥" w:eastAsia="宋体" w:hAnsi="ˎ̥" w:cs="Arial"/>
                <w:color w:val="000000"/>
                <w:kern w:val="0"/>
                <w:szCs w:val="21"/>
              </w:rPr>
              <w:lastRenderedPageBreak/>
              <w:t xml:space="preserve">　　药品生产企业在取得药品批准文号后，方可生产该药品。</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第三十二条　药品必须符合国家药品标准。中药饮片依照本法第十条第二款的规定执行。</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国务院药品监督管理部门颁布的《中华人民共和国药典》和药品标准为国家药品标准。</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国务院药品监督管理部门组织药典委员会，负责国家药品标准的制定和修订。</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国务院药品监督管理部门的药品检验机构负责标定国家药品标准品、对照品。</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第三十三条　国务院药品监督管理部门组织药学、医学和其他技术人员，对新药进行审评，对已经批准生产的药品进行再评价。</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第三十四条　药品生产企业、药品经营企业、医疗机构必须从具有药品生产、经营资格的企业购进药品；但是，购进没有实施批准文号管理的中药材除外。</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第三十五条　国家对麻醉药品、精神药品、医疗用毒性药品、放射性药品，实行特殊管理。管理办法由国务院制定。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第三十六条　国家实行中药品种保护制度。具体办法由国务院制定。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第三十七条　国家对药品实行处方药与非处方药分类管理制度。具体办法由国务院制定。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第三十八条　禁止进口疗效不确、不良反应大或者其他原因危害人体健康的药品。</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第三十九条　药品进口，须经国务院药品监督管理部门组织审查，经审查确认符合质量标准、安全有效的，方可批准进口，并发给进口药品注册证书。</w:t>
            </w:r>
            <w:r w:rsidRPr="00750EBF">
              <w:rPr>
                <w:rFonts w:ascii="ˎ̥" w:eastAsia="宋体" w:hAnsi="ˎ̥" w:cs="Arial"/>
                <w:color w:val="000000"/>
                <w:kern w:val="0"/>
                <w:sz w:val="18"/>
                <w:szCs w:val="18"/>
              </w:rPr>
              <w:br/>
            </w:r>
            <w:r w:rsidRPr="00750EBF">
              <w:rPr>
                <w:rFonts w:ascii="ˎ̥" w:eastAsia="宋体" w:hAnsi="ˎ̥" w:cs="Arial"/>
                <w:color w:val="000000"/>
                <w:kern w:val="0"/>
                <w:szCs w:val="21"/>
              </w:rPr>
              <w:lastRenderedPageBreak/>
              <w:t xml:space="preserve">　　医疗单位临床急需或者个人自用进口的少量药品，按照国家有关规定办理进口手续。</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第四十条　药品必须从允许药品进口的口岸进口，并由进口药品的企业向口岸所在地药品监督管理部门登记备案。海关凭药品监督管理部门出具的《进口药品通关单》放行。无《进口药品通关单》的，海关不得放行。</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口岸所在地药品监督管理部门应当通知药品检验机构按照国务院药品监督管理部门的规定对进口药品进行抽查检验，并依照本法第四十一条第二款的规定收取检验费。</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允许药品进口的口岸由国务院药品监督管理部门会同海关总署提出，报国务院批准。</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第四十一条　国务院药品监督管理部门对下列药品在销售前或者进口时，指定药品检验机构进行检验；检验不合格的，不得销售或者进口</w:t>
            </w:r>
            <w:r w:rsidRPr="00750EBF">
              <w:rPr>
                <w:rFonts w:ascii="ˎ̥" w:eastAsia="宋体" w:hAnsi="ˎ̥" w:cs="Arial"/>
                <w:color w:val="000000"/>
                <w:kern w:val="0"/>
                <w:szCs w:val="21"/>
              </w:rPr>
              <w:t>:</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（一）国务院药品监督管理部门规定的生物制品；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（二）首次在中国销售的药品；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（三）国务院规定的其他药品。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前款所列药品的检验费项目和收费标准由国务院财政部门会同国务院价格主管部门核定并公告。检验费收缴办法由国务院财政部门会同国务院药品监督管理部门制定。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第四十二条　国务院药品监督管理部门对已经批准生产或者进口的药品，应当组织调查；对疗效不确、不良反应大或者其他原因危害人体健康的药品，应当撤销批准文号或者进口药品注册证书。</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已被撤销批准文号或者进口药品注册证书的药品，不得生产或者进口、销售和使用；已经生产或者进口的，由当地药品监督管理部门监督销毁或者处理。</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第四十三条　国家实行药品储备制度。</w:t>
            </w:r>
            <w:r w:rsidRPr="00750EBF">
              <w:rPr>
                <w:rFonts w:ascii="ˎ̥" w:eastAsia="宋体" w:hAnsi="ˎ̥" w:cs="Arial"/>
                <w:color w:val="000000"/>
                <w:kern w:val="0"/>
                <w:sz w:val="18"/>
                <w:szCs w:val="18"/>
              </w:rPr>
              <w:br/>
            </w:r>
            <w:r w:rsidRPr="00750EBF">
              <w:rPr>
                <w:rFonts w:ascii="ˎ̥" w:eastAsia="宋体" w:hAnsi="ˎ̥" w:cs="Arial"/>
                <w:color w:val="000000"/>
                <w:kern w:val="0"/>
                <w:szCs w:val="21"/>
              </w:rPr>
              <w:lastRenderedPageBreak/>
              <w:t xml:space="preserve">　　国内发生重大灾情、疫情及其他突发事件时，国务院规定的部门可以紧急调用企业药品。</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第四十四条　对国内供应不足的药品，国务院有权限制或者禁止出口。</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第四十五条　进口、出口麻醉药品和国家规定范围内的精神药品，必须持有国务院药品监督管理部门发给的《进口准许证》、《出口准许证》。</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第四十六条　新发现和从国外引种的药材，经国务院药品监督管理部门审核批准后，方可销售。</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第四十七条　地区性民间习用药材的管理办法，由国务院药品监督管理部门会同国务院中医药管理部门制定。</w:t>
            </w:r>
            <w:r w:rsidRPr="00750EBF">
              <w:rPr>
                <w:rFonts w:ascii="ˎ̥" w:eastAsia="宋体" w:hAnsi="ˎ̥" w:cs="Arial"/>
                <w:color w:val="000000"/>
                <w:kern w:val="0"/>
                <w:szCs w:val="21"/>
              </w:rPr>
              <w:t xml:space="preserve"> </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第四十八条　禁止生产（包括配制，下同）、销售假药。</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有下列情形之一的，为假药</w:t>
            </w:r>
            <w:r w:rsidRPr="00750EBF">
              <w:rPr>
                <w:rFonts w:ascii="ˎ̥" w:eastAsia="宋体" w:hAnsi="ˎ̥" w:cs="Arial"/>
                <w:color w:val="000000"/>
                <w:kern w:val="0"/>
                <w:szCs w:val="21"/>
              </w:rPr>
              <w:t>:</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（一）药品所含成份与国家药品标准规定的成份不符的；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（二）以非药品冒充药品或者以他种药品冒充此种药品的。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有下列情形之一的药品，按假药论处</w:t>
            </w:r>
            <w:r w:rsidRPr="00750EBF">
              <w:rPr>
                <w:rFonts w:ascii="ˎ̥" w:eastAsia="宋体" w:hAnsi="ˎ̥" w:cs="Arial"/>
                <w:color w:val="000000"/>
                <w:kern w:val="0"/>
                <w:szCs w:val="21"/>
              </w:rPr>
              <w:t>:</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（一）国务院药品监督管理部门规定禁止使用的；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（二）依照本法必须批准而未经批准生产、进口，或者依照本法必须检验而未经检验即销售的；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（三）变质的；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（四）被污染的；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（五）使用依照本法必须取得批准文号而未取得批准文号的原料药生产的；</w:t>
            </w:r>
            <w:r w:rsidRPr="00750EBF">
              <w:rPr>
                <w:rFonts w:ascii="ˎ̥" w:eastAsia="宋体" w:hAnsi="ˎ̥" w:cs="Arial"/>
                <w:color w:val="000000"/>
                <w:kern w:val="0"/>
                <w:sz w:val="18"/>
                <w:szCs w:val="18"/>
              </w:rPr>
              <w:br/>
            </w:r>
            <w:r w:rsidRPr="00750EBF">
              <w:rPr>
                <w:rFonts w:ascii="ˎ̥" w:eastAsia="宋体" w:hAnsi="ˎ̥" w:cs="Arial"/>
                <w:color w:val="000000"/>
                <w:kern w:val="0"/>
                <w:szCs w:val="21"/>
              </w:rPr>
              <w:lastRenderedPageBreak/>
              <w:t xml:space="preserve">　　（六）所标明的适应症或者功能主治超出规定范围的。</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第四十九条　禁止生产、销售劣药。</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药品成份的含量不符合国家药品标准的，为劣药。</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有下列情形之一的药品，按劣药论处</w:t>
            </w:r>
            <w:r w:rsidRPr="00750EBF">
              <w:rPr>
                <w:rFonts w:ascii="ˎ̥" w:eastAsia="宋体" w:hAnsi="ˎ̥" w:cs="Arial"/>
                <w:color w:val="000000"/>
                <w:kern w:val="0"/>
                <w:szCs w:val="21"/>
              </w:rPr>
              <w:t>:</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（一）未标明有效期或者更改有效期的；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（二）不注明或者更改生产批号的；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（三）超过有效期的；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（四）直接接触药品的包装材料和容器未经批准的；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（五）擅自添加着色剂、防腐剂、香料、矫味剂及辅料的；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（六）其他不符合药品标准规定的。</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第五十条　列入国家药品标准的药品名称为药品通用名称。已经作为药品通用名称的，该名称不得作为药品商标使用。</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第五十一条　药品生产企业、药品经营企业和医疗机构直接接触药品的工作人员，必须每年进行健康检查。患有传染病或者其他可能污染药品的疾病的，不得从事直接接触药品的工作。</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第六章　药品包装的管理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第五十二条　直接接触药品的包装材料和容器，必须符合药用要求，符合保障人体健康、安全的标准，并由药品监督管理部门在审批药品时一并审批。</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药品生产企业不得使用未经批准的直接接触药品的包装材料和容器。</w:t>
            </w:r>
            <w:r w:rsidRPr="00750EBF">
              <w:rPr>
                <w:rFonts w:ascii="ˎ̥" w:eastAsia="宋体" w:hAnsi="ˎ̥" w:cs="Arial"/>
                <w:color w:val="000000"/>
                <w:kern w:val="0"/>
                <w:sz w:val="18"/>
                <w:szCs w:val="18"/>
              </w:rPr>
              <w:br/>
            </w:r>
            <w:r w:rsidRPr="00750EBF">
              <w:rPr>
                <w:rFonts w:ascii="ˎ̥" w:eastAsia="宋体" w:hAnsi="ˎ̥" w:cs="Arial"/>
                <w:color w:val="000000"/>
                <w:kern w:val="0"/>
                <w:szCs w:val="21"/>
              </w:rPr>
              <w:lastRenderedPageBreak/>
              <w:t xml:space="preserve">　　对不合格的直接接触药品的包装材料和容器，由药品监督管理部门责令停止使用。</w:t>
            </w:r>
            <w:r w:rsidRPr="00750EBF">
              <w:rPr>
                <w:rFonts w:ascii="ˎ̥" w:eastAsia="宋体" w:hAnsi="ˎ̥" w:cs="Arial"/>
                <w:color w:val="000000"/>
                <w:kern w:val="0"/>
                <w:szCs w:val="21"/>
              </w:rPr>
              <w:t xml:space="preserve"> </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第五十三条　药品包装必须适合药品质量的要求，方便储存、运输和医疗使用。</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发运中药材必须有包装。在每件包装上，必须注明品名、产地、日期、调出单位，并附有质量合格的标志。</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第五十四条　药品包装必须按照规定印有或者贴有标签并附有说明书。</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标签或者说明书上必须注明药品的通用名称、成份、规格、生产企业、批准文号、产品批号、生产日期、有效期、适应症或者功能主治、用法、用量、禁忌、不良反应和注意事项。</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麻醉药品、精神药品、医疗用毒性药品、放射性药品、外用药品和非处方药的标签，必须印有规定的标志。</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第七章　药品价格和广告的管理</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第五十五条　依法实行市场调节价的药品，药品的生产企业、经营企业和医疗机构应当按照公平、合理和诚实信用、质价相符的原则制定价格，为用药者提供价格合理的药品。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药品的生产企业、经营企业和医疗机构应当遵守国务院价格主管部门关于药价管理的规定，制定和标明药品零售价格，禁止暴利和损害用药者利益的价格欺诈行为。</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第五十六条　药品的生产企业、经营企业、医疗机构应当依法向政府价格主管部门提供其药品的实际购销价格和购销数量等资料。</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第五十七条　医疗机构应当向患者提供所用药品的价格清单；医疗保险定点医疗机构还应当按照规定的办法如实公布其常用药品的价格，加强合理用药的管理。具体办法由国务院卫生行政部门规定。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lastRenderedPageBreak/>
              <w:t xml:space="preserve">　　第五十八条　禁止药品的生产企业、经营企业和医疗机构在药品购销中帐外暗中给予、收受回扣或者其他利益。</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禁止药品的生产企业、经营企业或者其代理人以任何名义给予使用其药品的医疗机构的负责人、药品采购人员、医师等有关人员以财物或者其他利益。禁止医疗机构的负责人、药品采购人员、医师等有关人员以任何名义收受药品的生产企业、经营企业或者其代理人给予的财物或者其他利益。</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第五十九条　药品广告须经企业所在地省、自治区、直辖市人民政府药品监督管理部门批准，并发给药品广告批准文号；未取得药品广告批准文号的，不得发布。</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处方药可以在国务院卫生行政部门和国务院药品监督管理部门共同指定的医学、药学专业刊物上介绍，但不得在大众传播媒介发布广告或者以其他方式进行以公众为对象的广告宣传。</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第六十条　药品广告的内容必须真实、合法，以国务院药品监督管理部门批准的说明书为准，不得含有虚假的内容。</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药品广告不得含有不科学的表示功效的断言或者保证；不得利用国家机关、医药科研单位、学术机构或者专家、学者、医师、患者的名义和形象作证明。</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非药品广告不得有涉及药品的宣传。</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第六十一条　省、自治区、直辖市人民政府药品监督管理部门应当对其批准的药品广告进行检查，对于违反本法和《中华人民共和国广告法》的广告，应当向广告监督管理机关通报并提出处理建议，广告监督管理机关应当依法作出处理。</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第六十二条　药品价格和广告，本法未规定的，适用《中华人民共和国价格法》、《中</w:t>
            </w:r>
            <w:r w:rsidRPr="00750EBF">
              <w:rPr>
                <w:rFonts w:ascii="ˎ̥" w:eastAsia="宋体" w:hAnsi="ˎ̥" w:cs="Arial"/>
                <w:color w:val="000000"/>
                <w:kern w:val="0"/>
                <w:szCs w:val="21"/>
              </w:rPr>
              <w:lastRenderedPageBreak/>
              <w:t>华人民共和国广告法》的规定。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第八章　药品监督</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第六十三条　药品监督管理部门有权按照法律、行政法规的规定对报经其审批的药品研制和药品的生产、经营以及医疗机构使用药品的事项进行监督检查，有关单位和个人不得拒绝和隐瞒。</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药品监督管理部门进行监督检查时，必须出示证明文件，对监督检查中知悉的被检查人的技术秘密和业务秘密应当保密。</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第六十四条　药品监督管理部门根据监督检查的需要，可以对药品质量进行抽查检验。抽查检验应当按照规定抽样，并不得收取任何费用。所需费用按照国务院规定列支。</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第六十五条　国务院和省、自治区、直辖市人民政府的药品监督管理部门应当定期公告药品质量抽查检验的结果；公告不当的，必须在原公告范围内予以更正。</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第六十六条　当事人对药品检验机构的检验结果有异议的，可以自收到药品检验结果之日起七日内向原药品检验机构或者上一级药品监督管理部门设置或者确定的药品检验机构申请复验，也可以直接向国务院药品监督管理部门设置或者确定的药品检验机构申请复验。受理复验的药品检验机构必须在国务院药品监督管理部门规定的时间内作出复验结论。</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第六十七条　药品监督管理部门应当按照规定，依据《药品生产质量管理规范》、《药</w:t>
            </w:r>
            <w:r w:rsidRPr="00750EBF">
              <w:rPr>
                <w:rFonts w:ascii="ˎ̥" w:eastAsia="宋体" w:hAnsi="ˎ̥" w:cs="Arial"/>
                <w:color w:val="000000"/>
                <w:kern w:val="0"/>
                <w:szCs w:val="21"/>
              </w:rPr>
              <w:lastRenderedPageBreak/>
              <w:t>品经营质量管理规范》，对经其认证合格的药品生产企业、药品经营企业进行认证后的跟踪检查。</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第六十八条　地方人民政府和药品监督管理部门不得以要求实施药品检验、审批等手段限制或者排斥非本地区药品生产企业依照本法规定生产的药品进入本地区。</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第六十九条　药品监督管理部门及其设置的药品检验机构和确定的专业从事药品检验的机构不得参与药品生产经营活动，不得以其名义推荐或者监制、监销药品。</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药品监督管理部门及其设置的药品检验机构和确定的专业从事药品检验的机构的工作人员不得参与药品生产经营活动。</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第七十条　国家实行药品不良反应报告制度。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第七十一条　药品生产企业、药品经营企业和医疗机构的药品检验机构或者人员，应当接受当地药品监督管理部门设置的药品检验机构的业务指导。</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第九章　法律责任</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第七十二条　未取得《药品生产许可证》、《药品经营许可证》或者《医疗机构制剂许</w:t>
            </w:r>
            <w:r w:rsidRPr="00750EBF">
              <w:rPr>
                <w:rFonts w:ascii="ˎ̥" w:eastAsia="宋体" w:hAnsi="ˎ̥" w:cs="Arial"/>
                <w:color w:val="000000"/>
                <w:kern w:val="0"/>
                <w:szCs w:val="21"/>
              </w:rPr>
              <w:lastRenderedPageBreak/>
              <w:t>可证》生产药品、经营药品的，依法予以取缔，没收违法生产、销售的药品和违法所得，并处违法生产、销售的药品（包括已售出的和未售出的药品，下同）货值金额二倍以上五倍以下的罚款；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第七十五条　从事生产、销售假药及生产、销售劣药情节严重的企业或者其他单位，其直接负责的主管人员和其他直接责任人员十年内不得从事药品生产、经营活动。</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对生产者专门用于生产假药、劣药的原辅材料、包装材料、生产设备，予以没收。</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第七十六条　知道或者应当知道属于假劣药品而为其提供运输、保管、仓储等便利条件的，没收全部运输、保管、仓储的收入，并处违法收入百分之五十以上三倍以下的罚款；构成犯罪的，依法追究刑事责任。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第七十七条　对假药、劣药的处罚通知，必须载明药品检验机构的质量检验结果；但是，本法第四十八条第三款第（一）、（二）、（五）、（六）项和第四十九条第三款规定的情</w:t>
            </w:r>
            <w:r w:rsidRPr="00750EBF">
              <w:rPr>
                <w:rFonts w:ascii="ˎ̥" w:eastAsia="宋体" w:hAnsi="ˎ̥" w:cs="Arial"/>
                <w:color w:val="000000"/>
                <w:kern w:val="0"/>
                <w:szCs w:val="21"/>
              </w:rPr>
              <w:lastRenderedPageBreak/>
              <w:t>形除外。</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第八十条　进口已获得药品进口注册证书的药品，未按照本法规定向允许药品进口的口岸所在地的药品监督管理部门登记备案的，给予警告，责令限期改正；逾期不改正的，撤销进口药品注册证书。</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lastRenderedPageBreak/>
              <w:t xml:space="preserve">　　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第八十三条　医疗机构将其配制的制剂在市场销售的，责令改正，没收违法销售的制剂，并处违法销售制剂货值金额一倍以上三倍以下的罚款；有违法所得的，没收违法所得。</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第八十四条　药品经营企业违反本法第十八条、第十九条规定的，责令改正，给予警告；情节严重的，吊销《药品经营许可证》。</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第八十五条　药品标识不符合本法第五十四条规定的，除依法应当按照假药、劣药论处的外，责令改正，给予警告；情节严重的，撤销该药品的批准证明文件。</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第八十六条　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第八十七条　本法第七十二条至第八十六条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lastRenderedPageBreak/>
              <w:t xml:space="preserve">　　第八十八条　违反本法第五十五条、第五十六条关于药品价格管理的规定的，依照《中华人民共和国价格法》的规定处罚。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第九十条　药品的生产企业、经营企业的负责人、采购人员等有关人员在药品购销中收受其他生产企业、经营企业或者其代理人给予的财物或者其他利益的，依法给予处分，没收违法所得；构成犯罪的，依法追究刑事责任。</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第九十一条　违反本法有关药品广告的管理规定的，依照《中华人民共和国广告法》的规定处罚，并由发给广告批准文号的药品监督管理部门撤销广告批准文号，一年内不受理该品种的广告审批申请；构成犯罪的，依法追究刑事责任。</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药品监督管理部门对药品广告不依法履行审查职责，批准发布的广告有虚假或者其他违反法律、行政法规的内容的，对直接负责的主管人员和其他直接责任人员依法给予行政处分；</w:t>
            </w:r>
            <w:r w:rsidRPr="00750EBF">
              <w:rPr>
                <w:rFonts w:ascii="ˎ̥" w:eastAsia="宋体" w:hAnsi="ˎ̥" w:cs="Arial"/>
                <w:color w:val="000000"/>
                <w:kern w:val="0"/>
                <w:szCs w:val="21"/>
              </w:rPr>
              <w:lastRenderedPageBreak/>
              <w:t>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第九十二条　药品的生产企业、经营企业、医疗机构违反本法规定，给药品使用者造成损害的，依法承担赔偿责任。</w:t>
            </w:r>
            <w:r w:rsidRPr="00750EBF">
              <w:rPr>
                <w:rFonts w:ascii="ˎ̥" w:eastAsia="宋体" w:hAnsi="ˎ̥" w:cs="Arial"/>
                <w:color w:val="000000"/>
                <w:kern w:val="0"/>
                <w:szCs w:val="21"/>
              </w:rPr>
              <w:t xml:space="preserve"> </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第九十三条　药品监督管理部门违反本法规定，有下列行为之一的，由其上级主管机关或者监察机关责令收回违法发给的证书、撤销药品批准证明文件，对直接负责的主管人员和其他直接责任人员依法给予行政处分；构成犯罪的，依法追究刑事责任</w:t>
            </w:r>
            <w:r w:rsidRPr="00750EBF">
              <w:rPr>
                <w:rFonts w:ascii="ˎ̥" w:eastAsia="宋体" w:hAnsi="ˎ̥" w:cs="Arial"/>
                <w:color w:val="000000"/>
                <w:kern w:val="0"/>
                <w:szCs w:val="21"/>
              </w:rPr>
              <w:t>:</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一）对不符合《药品生产质量管理规范》、《药品经营质量管理规范》的企业发给符合有关规范的认证证书的，或者对取得认证证书的企业未按照规定履行跟踪检查的职责，对不符合认证条件的企业未依法责令其改正或者撤销其认证证书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（二）对不符合法定条件的单位发给《药品生产许可证》、《药品经营许可证》或者《医疗机构制剂许可证》的；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（三）对不符合进口条件的药品发给进口药品注册证书的；</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（四）对不具备临床试验条件或者生产条件而批准进行临床试验、发给新药证书、发给药品批准文号的。</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第九十四条　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药品监督管理部门或者其设置的药品检验机构或者其确定的专业从事药品检验的机构的工作人员参与药品生产经营活动的，依法给予行政处分。</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第九十五条　药品监督管理部门或者其设置、确定的药品检验机构在药品监督检验中违</w:t>
            </w:r>
            <w:r w:rsidRPr="00750EBF">
              <w:rPr>
                <w:rFonts w:ascii="ˎ̥" w:eastAsia="宋体" w:hAnsi="ˎ̥" w:cs="Arial"/>
                <w:color w:val="000000"/>
                <w:kern w:val="0"/>
                <w:szCs w:val="21"/>
              </w:rPr>
              <w:lastRenderedPageBreak/>
              <w:t>法收取检验费用的，由政府有关部门责令退还，对直接负责的主管人员和其他直接责任人员依法给予行政处分。对违法收取检验费用情节严重的药品检验机构，撤销其检验资格。</w:t>
            </w:r>
            <w:r w:rsidRPr="00750EBF">
              <w:rPr>
                <w:rFonts w:ascii="ˎ̥" w:eastAsia="宋体" w:hAnsi="ˎ̥" w:cs="Arial"/>
                <w:color w:val="000000"/>
                <w:kern w:val="0"/>
                <w:szCs w:val="21"/>
              </w:rPr>
              <w:t xml:space="preserve"> </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第九十六条　药品监督管理部门应当依法履行监督检查职责，监督已取得《药品生产许可证》、《药品经营许可证》的企业依照本法规定从事药品生产、经营活动。</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第九十七条　药品监督管理部门对下级药品监督管理部门违反本法的行政行为，责令限期改正；逾期不改正的，有权予以改变或者撤销。</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第九十八条　药品监督管理人员滥用职权、徇私舞弊、玩忽职守，构成犯罪的，依法追究刑事责任；尚不构成犯罪的，依法给予行政处分。</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第九十九条　本章规定的货值金额以违法生产、销售药品的标价计算；没有标价的，按照同类药品的市场价格计算。</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第十章　附则</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第一百条　本法下列用语的含义是</w:t>
            </w:r>
            <w:r w:rsidRPr="00750EBF">
              <w:rPr>
                <w:rFonts w:ascii="ˎ̥" w:eastAsia="宋体" w:hAnsi="ˎ̥" w:cs="Arial"/>
                <w:color w:val="000000"/>
                <w:kern w:val="0"/>
                <w:szCs w:val="21"/>
              </w:rPr>
              <w:t>:</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辅料，是指生产药品和调配处方时所用的赋形剂和附加剂。</w:t>
            </w:r>
            <w:r w:rsidRPr="00750EBF">
              <w:rPr>
                <w:rFonts w:ascii="ˎ̥" w:eastAsia="宋体" w:hAnsi="ˎ̥" w:cs="Arial"/>
                <w:color w:val="000000"/>
                <w:kern w:val="0"/>
                <w:sz w:val="18"/>
                <w:szCs w:val="18"/>
              </w:rPr>
              <w:br/>
            </w:r>
            <w:r w:rsidRPr="00750EBF">
              <w:rPr>
                <w:rFonts w:ascii="ˎ̥" w:eastAsia="宋体" w:hAnsi="ˎ̥" w:cs="Arial"/>
                <w:color w:val="000000"/>
                <w:kern w:val="0"/>
                <w:szCs w:val="21"/>
              </w:rPr>
              <w:lastRenderedPageBreak/>
              <w:t xml:space="preserve">　　药品生产企业，是指生产药品的专营企业或者兼营企业。</w:t>
            </w:r>
            <w:r w:rsidRPr="00750EBF">
              <w:rPr>
                <w:rFonts w:ascii="ˎ̥" w:eastAsia="宋体" w:hAnsi="ˎ̥" w:cs="Arial"/>
                <w:color w:val="000000"/>
                <w:kern w:val="0"/>
                <w:sz w:val="18"/>
                <w:szCs w:val="18"/>
              </w:rPr>
              <w:br/>
            </w:r>
            <w:r w:rsidRPr="00750EBF">
              <w:rPr>
                <w:rFonts w:ascii="ˎ̥" w:eastAsia="宋体" w:hAnsi="ˎ̥" w:cs="Arial"/>
                <w:color w:val="000000"/>
                <w:kern w:val="0"/>
                <w:szCs w:val="21"/>
              </w:rPr>
              <w:t xml:space="preserve">　　药品经营企业，是指经营药品的专营企业或者兼营企业。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第一百零一条　中药材的种植、采集和饲养的管理办法，由国务院另行制定。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第一百零二条　国家对预防性生物制品的流通实行特殊管理。具体办法由国务院制定。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第一百零三条　中国人民解放军执行本法的具体办法，由国务院、中央军事委员会依据本法制定。</w:t>
            </w:r>
          </w:p>
          <w:p w:rsidR="00750EBF" w:rsidRPr="00750EBF" w:rsidRDefault="00750EBF" w:rsidP="00750EBF">
            <w:pPr>
              <w:widowControl/>
              <w:spacing w:before="100" w:beforeAutospacing="1" w:after="100" w:afterAutospacing="1" w:line="480" w:lineRule="auto"/>
              <w:jc w:val="left"/>
              <w:rPr>
                <w:rFonts w:ascii="ˎ̥" w:eastAsia="宋体" w:hAnsi="ˎ̥" w:cs="Arial"/>
                <w:color w:val="000000"/>
                <w:kern w:val="0"/>
                <w:szCs w:val="21"/>
              </w:rPr>
            </w:pPr>
            <w:r w:rsidRPr="00750EBF">
              <w:rPr>
                <w:rFonts w:ascii="ˎ̥" w:eastAsia="宋体" w:hAnsi="ˎ̥" w:cs="Arial"/>
                <w:color w:val="000000"/>
                <w:kern w:val="0"/>
                <w:szCs w:val="21"/>
              </w:rPr>
              <w:t xml:space="preserve">　　第一百零四条　本法自</w:t>
            </w:r>
            <w:r w:rsidRPr="00750EBF">
              <w:rPr>
                <w:rFonts w:ascii="ˎ̥" w:eastAsia="宋体" w:hAnsi="ˎ̥" w:cs="Arial"/>
                <w:color w:val="000000"/>
                <w:kern w:val="0"/>
                <w:szCs w:val="21"/>
              </w:rPr>
              <w:t>2001</w:t>
            </w:r>
            <w:r w:rsidRPr="00750EBF">
              <w:rPr>
                <w:rFonts w:ascii="ˎ̥" w:eastAsia="宋体" w:hAnsi="ˎ̥" w:cs="Arial"/>
                <w:color w:val="000000"/>
                <w:kern w:val="0"/>
                <w:szCs w:val="21"/>
              </w:rPr>
              <w:t>年</w:t>
            </w:r>
            <w:r w:rsidRPr="00750EBF">
              <w:rPr>
                <w:rFonts w:ascii="ˎ̥" w:eastAsia="宋体" w:hAnsi="ˎ̥" w:cs="Arial"/>
                <w:color w:val="000000"/>
                <w:kern w:val="0"/>
                <w:szCs w:val="21"/>
              </w:rPr>
              <w:t>12</w:t>
            </w:r>
            <w:r w:rsidRPr="00750EBF">
              <w:rPr>
                <w:rFonts w:ascii="ˎ̥" w:eastAsia="宋体" w:hAnsi="ˎ̥" w:cs="Arial"/>
                <w:color w:val="000000"/>
                <w:kern w:val="0"/>
                <w:szCs w:val="21"/>
              </w:rPr>
              <w:t>月</w:t>
            </w:r>
            <w:r w:rsidRPr="00750EBF">
              <w:rPr>
                <w:rFonts w:ascii="ˎ̥" w:eastAsia="宋体" w:hAnsi="ˎ̥" w:cs="Arial"/>
                <w:color w:val="000000"/>
                <w:kern w:val="0"/>
                <w:szCs w:val="21"/>
              </w:rPr>
              <w:t>1</w:t>
            </w:r>
            <w:r w:rsidRPr="00750EBF">
              <w:rPr>
                <w:rFonts w:ascii="ˎ̥" w:eastAsia="宋体" w:hAnsi="ˎ̥" w:cs="Arial"/>
                <w:color w:val="000000"/>
                <w:kern w:val="0"/>
                <w:szCs w:val="21"/>
              </w:rPr>
              <w:t>日起施行。</w:t>
            </w:r>
          </w:p>
        </w:tc>
      </w:tr>
    </w:tbl>
    <w:p w:rsidR="00F70DF4" w:rsidRPr="00750EBF" w:rsidRDefault="00F70DF4"/>
    <w:sectPr w:rsidR="00F70DF4" w:rsidRPr="00750E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F4" w:rsidRDefault="00F70DF4" w:rsidP="00750EBF">
      <w:r>
        <w:separator/>
      </w:r>
    </w:p>
  </w:endnote>
  <w:endnote w:type="continuationSeparator" w:id="1">
    <w:p w:rsidR="00F70DF4" w:rsidRDefault="00F70DF4" w:rsidP="00750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F4" w:rsidRDefault="00F70DF4" w:rsidP="00750EBF">
      <w:r>
        <w:separator/>
      </w:r>
    </w:p>
  </w:footnote>
  <w:footnote w:type="continuationSeparator" w:id="1">
    <w:p w:rsidR="00F70DF4" w:rsidRDefault="00F70DF4" w:rsidP="00750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EBF"/>
    <w:rsid w:val="00750EBF"/>
    <w:rsid w:val="00F70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0EBF"/>
    <w:rPr>
      <w:sz w:val="18"/>
      <w:szCs w:val="18"/>
    </w:rPr>
  </w:style>
  <w:style w:type="paragraph" w:styleId="a4">
    <w:name w:val="footer"/>
    <w:basedOn w:val="a"/>
    <w:link w:val="Char0"/>
    <w:uiPriority w:val="99"/>
    <w:semiHidden/>
    <w:unhideWhenUsed/>
    <w:rsid w:val="00750E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0EBF"/>
    <w:rPr>
      <w:sz w:val="18"/>
      <w:szCs w:val="18"/>
    </w:rPr>
  </w:style>
  <w:style w:type="paragraph" w:styleId="a5">
    <w:name w:val="Balloon Text"/>
    <w:basedOn w:val="a"/>
    <w:link w:val="Char1"/>
    <w:uiPriority w:val="99"/>
    <w:semiHidden/>
    <w:unhideWhenUsed/>
    <w:rsid w:val="00750EBF"/>
    <w:rPr>
      <w:sz w:val="18"/>
      <w:szCs w:val="18"/>
    </w:rPr>
  </w:style>
  <w:style w:type="character" w:customStyle="1" w:styleId="Char1">
    <w:name w:val="批注框文本 Char"/>
    <w:basedOn w:val="a0"/>
    <w:link w:val="a5"/>
    <w:uiPriority w:val="99"/>
    <w:semiHidden/>
    <w:rsid w:val="00750E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1884</Words>
  <Characters>10745</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2017-12-08T05:42:00Z</dcterms:created>
  <dcterms:modified xsi:type="dcterms:W3CDTF">2017-12-08T05:43:00Z</dcterms:modified>
</cp:coreProperties>
</file>